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2.xml" ContentType="application/vnd.openxmlformats-officedocument.wordprocessingml.header+xml"/>
  <Override PartName="/word/footer3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22.xml" ContentType="application/vnd.openxmlformats-officedocument.wordprocessingml.footer+xml"/>
  <Override PartName="/word/webSettings.xml" ContentType="application/vnd.openxmlformats-officedocument.wordprocessingml.webSettings+xml"/>
  <Override PartName="/word/footer133.xml" ContentType="application/vnd.openxmlformats-officedocument.wordprocessingml.footer+xml"/>
  <Override PartName="/word/theme/theme1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0E463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Le rejet des enquêtes de l'OEPP - étude de cas</w:t>
      </w:r>
    </w:p>
    <w:p w:rsidRPr="000E4635" w:rsidR="00257BEB" w:rsidRDefault="00FF591C" w14:paraId="3BADA550" w14:textId="77777777">
      <w:pPr>
        <w:pStyle w:val="Standard"/>
        <w:rPr>
          <w:rFonts w:ascii="Times New Roman" w:hAnsi="Times New Roman" w:cs="Times New Roman"/>
        </w:rPr>
      </w:pPr>
      <w:r w:rsidRPr="000E4635">
        <w:rPr>
          <w:rFonts w:ascii="Times New Roman" w:hAnsi="Times New Roman" w:cs="Times New Roman"/>
        </w:rPr>
        <w:t xml:space="preserve">       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 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traite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affaire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consistant </w:t>
      </w:r>
      <w:r w:rsidR="00F634C7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</w:t>
      </w:r>
      <w:r w:rsidR="00F634C7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évasion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droits de douane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commise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série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fausses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déclarations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personnes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officielles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infractions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pénales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présumées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sont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la fausse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déclaration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personnes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officielles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traite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cette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dernière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infraction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inextricablement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liée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infraction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PIF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(art. 22 para 3 du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règlement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OEPP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).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La société A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chargée des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procédures d'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importation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marchandises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dans l'UE pour le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compte 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la société B.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Chaque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année,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la société A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gère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l'importation 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100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tonnes 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marchandises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dans l'UE,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principalement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dans le port de Rotterdam.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Statistiquement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apparaît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société A 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déclaré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environ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deux tiers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opérations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comme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importations de 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pommes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". Un jour,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lors d'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contrôle de routine, 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douanier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 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vérifié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majeure partie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cargaison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concernait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ail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pommes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importation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pommes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soumise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droits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beaucoup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plus faibles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ail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société A 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rempli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présenté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aux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autorités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douanières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plusieurs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documents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confirmant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marchandises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importées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étaient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pommes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développement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suggéré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société B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étrangère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tel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système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contraire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pleinement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consciente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principal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bénéficiaire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dirigeants des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sociétés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et B ont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donc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accusés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de fausse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déclaration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personnes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officielles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Toutefois,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suggéré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dans certains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cas, certains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agents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douanes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chargés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contrôle de certains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envois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auraient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 pu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être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incités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fermer les yeux sur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fraude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échange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récompenses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illicites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 conséquent,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dirigeants des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sociétés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et B et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agents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douanes </w:t>
      </w:r>
      <w:r w:rsidRPr="000E4635" w:rsidR="00FB7637">
        <w:rPr>
          <w:rFonts w:ascii="Times New Roman" w:hAnsi="Times New Roman" w:eastAsia="Segoe UI Emoji" w:cs="Times New Roman"/>
          <w:sz w:val="24"/>
          <w:szCs w:val="24"/>
        </w:rPr>
        <w:t xml:space="preserve">impliqués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accusés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corruption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portant atteinte aux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intérêts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financiers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l'UE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Alors 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sur le point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d'être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terminée</w:t>
      </w:r>
      <w:r w:rsidRPr="000E4635" w:rsidR="00FB7637">
        <w:rPr>
          <w:rFonts w:ascii="Times New Roman" w:hAnsi="Times New Roman" w:eastAsia="Segoe UI Emoji" w:cs="Times New Roman"/>
          <w:sz w:val="24"/>
          <w:szCs w:val="24"/>
        </w:rPr>
        <w:t xml:space="preserve">, il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avéré qu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administrative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avait 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ouverte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 les douanes néerlandaises.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Elle 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abouti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suspension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agents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douanes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concernés,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soupçonnés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mauvaise conduite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outre,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appris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des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suspects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le directeur de la société B, 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décédé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subitement à la suite d'un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accident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voiture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Quant au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directeur de la société A, c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'est 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citoyen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néerlandais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semble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être 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consul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honoraire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 du Pakistan dans la ville de Rotterdam.</w:t>
      </w:r>
    </w:p>
    <w:p w:rsidR="000E4635" w:rsidP="000E4635" w:rsidRDefault="000E4635" w14:paraId="7D772753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Q1.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Comment l'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enquête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peut-elle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se poursuivre ?</w:t>
      </w:r>
    </w:p>
    <w:p w:rsidRPr="000E4635" w:rsidR="00257BEB" w:rsidP="000E4635" w:rsidRDefault="00257BEB" w14:paraId="686E5245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Q2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L'EDP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va-t-il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proposer 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 de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l'affaire ?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 w:rsid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A2</w:t>
      </w:r>
      <w:r w:rsidRP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certainement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rejeter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affaire 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 qui concerne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suspect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qui 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décédé.</w:t>
      </w:r>
    </w:p>
    <w:p w:rsidRPr="000E4635" w:rsidR="00257BEB" w:rsidP="000E4635" w:rsidRDefault="00257BEB" w14:paraId="3FFA03A2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Q3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Comment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l'EDP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doit-il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rejeter l'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affaire ?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 w:rsid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A2</w:t>
      </w:r>
      <w:r w:rsidRP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enverra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rapport avec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proposition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rejet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 PE ;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 PE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transmettra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Chambre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permanente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donnera l'instruction au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PDE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rejeter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affaire.</w:t>
      </w:r>
    </w:p>
    <w:p w:rsidRPr="000E4635" w:rsidR="00257BEB" w:rsidP="000E4635" w:rsidRDefault="00257BEB" w14:paraId="0D388EB8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 qui concerne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suspect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consul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honoraire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vrai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raisons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renvoi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suspect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bénéficié d'une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immunité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question 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donc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savoir si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consul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honoraire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bénéficie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immunité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principe,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n'est pas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cas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car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consul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honoraire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diplomate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professionnel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 cas où 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demanderait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levée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immunité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vertu de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législation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nationale.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Nous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supposons qu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aucune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immunité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dû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être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levée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mais 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n'a pas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trouvé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preuves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suffisantes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poursuivre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directeur de la société A.</w:t>
      </w:r>
    </w:p>
    <w:p w:rsidRPr="000E4635" w:rsidR="00257BEB" w:rsidP="000E4635" w:rsidRDefault="00257BEB" w14:paraId="6E9298D4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Q4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Peut-il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rejeter l'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affaire pour </w:t>
      </w:r>
      <w:r w:rsidR="00FB7637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ces </w:t>
      </w:r>
      <w:r w:rsidR="00FB7637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motifs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?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 w:rsid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A4</w:t>
      </w:r>
      <w:r w:rsidRP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absence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preuves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pertinentes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des motifs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licenciement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prévus par 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règlement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signification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varie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fonction du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droit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national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règlement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quand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preuve fait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défaut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Dans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certains systèmes,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exige 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rejet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lorsque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preuves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ne sont pas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suffisamment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solides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soutenir </w:t>
      </w:r>
      <w:r w:rsidRPr="000E4635" w:rsidR="00FB7637">
        <w:rPr>
          <w:rFonts w:ascii="Times New Roman" w:hAnsi="Times New Roman" w:eastAsia="Segoe UI Emoji" w:cs="Times New Roman"/>
          <w:sz w:val="24"/>
          <w:szCs w:val="24"/>
        </w:rPr>
        <w:t xml:space="preserve">avec succès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accusation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Dans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d'autres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systèmes,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degré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preuve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pourrait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être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suffisant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poursuivre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affaire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non-lieu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justifié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lorsqu'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aucune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preuve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atteinte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 w:rsidR="0013602D" w:rsidP="000E4635" w:rsidRDefault="0013602D" w14:paraId="64AFDDDE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Quant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aux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douaniers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ils ont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soumis à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procédure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administrative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parallèle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lourdement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sanctionnés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règlement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prévoit </w:t>
      </w:r>
      <w:r w:rsidRPr="000E4635" w:rsidR="00FB7637">
        <w:rPr>
          <w:rFonts w:ascii="Times New Roman" w:hAnsi="Times New Roman" w:eastAsia="Segoe UI Emoji" w:cs="Times New Roman"/>
          <w:sz w:val="24"/>
          <w:szCs w:val="24"/>
        </w:rPr>
        <w:t xml:space="preserve">comme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motif </w:t>
      </w:r>
      <w:r w:rsidRPr="000E4635" w:rsidR="00FB7637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 w:rsidR="00FB7637">
        <w:rPr>
          <w:rFonts w:ascii="Times New Roman" w:hAnsi="Times New Roman" w:eastAsia="Segoe UI Emoji" w:cs="Times New Roman"/>
          <w:sz w:val="24"/>
          <w:szCs w:val="24"/>
        </w:rPr>
        <w:t xml:space="preserve">licenciement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cas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où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affaire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suspect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fait l'objet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d'une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décision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définitive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concernant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mêmes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faits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 w:rsidR="000E4635" w:rsidP="000E4635" w:rsidRDefault="000E4635" w14:paraId="0D7C5B33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Q5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procédure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administrative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est-elle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une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raison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pour 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 de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affaire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pénale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?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A5</w:t>
      </w:r>
      <w:r w:rsidRP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problème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"ne bis in idem",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être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examiné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la lumière de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jurisprudence de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CEDH et de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Cour de justice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résumé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développements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plus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récents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principe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suggèrent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lorsque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réaction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sanctionnatrice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l'État à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faute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homogène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n'y a pas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violation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ne bis in idem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même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cas de double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procédure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 conséquent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faut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voir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dans 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spécifique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comment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procédure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administrative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lancée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développée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Cependant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lorsque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procédures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administratives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sont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essence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procédures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disciplinaires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jurisprudence </w:t>
      </w:r>
      <w:r w:rsidR="00FB7637">
        <w:rPr>
          <w:rFonts w:ascii="Times New Roman" w:hAnsi="Times New Roman" w:eastAsia="Segoe UI Emoji" w:cs="Times New Roman"/>
          <w:sz w:val="24"/>
          <w:szCs w:val="24"/>
        </w:rPr>
        <w:t xml:space="preserve">tend à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exclure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toute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violation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principe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ne bis in idem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cas de double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procédure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car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procédures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disciplinaires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poursuivent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objectif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complètement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différent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celui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procédures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pénales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;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elles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fonctionnent sur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deux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niveaux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différents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</w:t>
      </w:r>
    </w:p>
    <w:p w:rsidRPr="000E4635" w:rsidR="00257BEB" w:rsidP="000E4635" w:rsidRDefault="00257BEB" w14:paraId="65D4849A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Q6.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Nous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supposons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que l'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EDP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toujours reçu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'instruction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rejeter le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cas. </w:t>
      </w:r>
      <w:r w:rsidR="00FB7637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Dans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cette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situation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spécifique,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y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a-t-il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une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obligation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pour l'OEPP ?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A6.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Étant donné qu'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en l'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espèce,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la PDE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 w:rsidR="00FB7637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traité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infraction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non liée à la PIF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incluse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dans l'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comme étant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inextricablement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liée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aux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principales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infractions liées à la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PIF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, le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règlement prévoit que l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'affaire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ne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peut être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classée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qu'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après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consultation des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autorités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judiciaires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nationales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auxquelles l'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affaire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pourrait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théoriquement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être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renvoyée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 w:rsidRPr="000E4635" w:rsidR="00257BEB" w:rsidP="000E4635" w:rsidRDefault="00257BEB" w14:paraId="3861BCB0" w14:textId="77777777">
      <w:pPr>
        <w:pStyle w:val="Standard"/>
        <w:ind w:start="720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Q7.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L'OEPP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est-il </w:t>
      </w:r>
      <w:r w:rsidRPr="000E4635" w:rsidR="00FB7637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également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obligé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transmettre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le cas à l'OLAF après le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licenciement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?</w:t>
      </w:r>
    </w:p>
    <w:p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A7.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L'OEPP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peut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faire appel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à l'OLAF pour le suivi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administratif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et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financier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 w:rsidRPr="000E4635" w:rsidR="00257BEB" w:rsidP="000E4635" w:rsidRDefault="00FF591C" w14:paraId="2DB25988" w14:textId="77777777">
      <w:pPr>
        <w:pStyle w:val="Standard"/>
        <w:ind w:start="720"/>
        <w:jc w:val="both"/>
        <w:rPr>
          <w:rFonts w:ascii="Times New Roman" w:hAnsi="Times New Roman" w:eastAsia="Segoe UI Emoji" w:cs="Times New Roman"/>
        </w:rPr>
      </w:pPr>
      <w:r w:rsidRPr="000E4635">
        <w:rPr>
          <w:rFonts w:ascii="Times New Roman" w:hAnsi="Times New Roman" w:eastAsia="Segoe UI Emoji" w:cs="Times New Roman"/>
        </w:rPr>
        <w:t xml:space="preserve"> </w:t>
      </w:r>
    </w:p>
    <w:p w:rsidRPr="000E4635" w:rsidR="00257BEB" w:rsidP="000E4635" w:rsidRDefault="00257BEB" w14:paraId="2E21860E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p w:rsidRPr="000E4635" w:rsidR="00257BEB" w:rsidRDefault="00257BEB" w14:paraId="5720A425" w14:textId="77777777">
      <w:pPr>
        <w:pStyle w:val="Standard"/>
        <w:rPr>
          <w:rFonts w:ascii="Times New Roman" w:hAnsi="Times New Roman" w:eastAsia="Segoe UI Emoji" w:cs="Times New Roman"/>
        </w:rPr>
      </w:pPr>
    </w:p>
    <w:sectPr w:rsidRPr="000E4635" w:rsidR="0025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036" w:rsidRDefault="00CE2036" w14:paraId="1B1D2CA4" w14:textId="77777777">
      <w:pPr>
        <w:spacing w:after="0" w:line="240" w:lineRule="auto"/>
      </w:pPr>
      <w:r>
        <w:separator/>
      </w:r>
    </w:p>
  </w:endnote>
  <w:endnote w:type="continuationSeparator" w:id="0">
    <w:p w:rsidR="00CE2036" w:rsidRDefault="00CE2036" w14:paraId="279E40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F34" w:rsidRDefault="00C50F34" w14:paraId="74F18226" w14:textId="77777777">
    <w:pPr>
      <w:pStyle w:val="Footer"/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59321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C50F34" w:rsidRDefault="00C50F34" w14:paraId="50DA7D22" w14:textId="77777777">
    <w:pPr>
      <w:pStyle w:val="Footer"/>
    </w:pPr>
  </w:p>
</w:ftr>
</file>

<file path=word/footer3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F34" w:rsidRDefault="00C50F34" w14:paraId="15D507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036" w:rsidRDefault="00CE2036" w14:paraId="655D2B0A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2036" w:rsidRDefault="00CE2036" w14:paraId="08CC5974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F34" w:rsidRDefault="00C50F34" w14:paraId="5010838A" w14:textId="77777777">
    <w:pPr>
      <w:pStyle w:val="Header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F34" w:rsidRDefault="00C50F34" w14:paraId="3D11F15E" w14:textId="77777777">
    <w:pPr>
      <w:pStyle w:val="Header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F34" w:rsidRDefault="00C50F34" w14:paraId="2720BB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0C9B"/>
    <w:multiLevelType w:val="multilevel"/>
    <w:tmpl w:val="7646F7E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86A7B"/>
    <w:multiLevelType w:val="multilevel"/>
    <w:tmpl w:val="9398C8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EB"/>
    <w:rsid w:val="000E4635"/>
    <w:rsid w:val="0013602D"/>
    <w:rsid w:val="00257BEB"/>
    <w:rsid w:val="002942F3"/>
    <w:rsid w:val="004340B6"/>
    <w:rsid w:val="008838F8"/>
    <w:rsid w:val="00C50F34"/>
    <w:rsid w:val="00CE2036"/>
    <w:rsid w:val="00F634C7"/>
    <w:rsid w:val="00FB7637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531"/>
  <w15:docId w15:val="{C12FD220-73CF-4761-B89D-66B3F47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0E463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0E46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34"/>
  </w:style>
  <w:style w:type="paragraph" w:styleId="Footer">
    <w:name w:val="footer"/>
    <w:basedOn w:val="Normal"/>
    <w:link w:val="FooterChar"/>
    <w:uiPriority w:val="99"/>
    <w:unhideWhenUsed/>
    <w:rsid w:val="00C5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2.xml" Id="rId7" /><Relationship Type="http://schemas.openxmlformats.org/officeDocument/2006/relationships/footer" Target="/word/footer3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3.xml" Id="rId11" /><Relationship Type="http://schemas.openxmlformats.org/officeDocument/2006/relationships/footnotes" Target="/word/footnotes.xml" Id="rId5" /><Relationship Type="http://schemas.openxmlformats.org/officeDocument/2006/relationships/footer" Target="/word/footer2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3.xml" Id="rId9" /><Relationship Type="http://schemas.openxmlformats.org/officeDocument/2006/relationships/theme" Target="/word/theme/theme111.xml" Id="rId14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733</ap:Words>
  <ap:Characters>4622</ap:Characters>
  <ap:Application>Microsoft Office Word</ap:Application>
  <ap:DocSecurity>0</ap:DocSecurity>
  <ap:Lines>38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5345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Greenwood Elizabeth</lastModifiedBy>
  <revision>6</revision>
  <dcterms:created xsi:type="dcterms:W3CDTF">2021-02-28T11:34:00.0000000Z</dcterms:created>
  <dcterms:modified xsi:type="dcterms:W3CDTF">2021-05-27T08:07:00.0000000Z</dcterms:modified>
  <keywords>, docId:5BCC0841F23AE5CB41CAEE77252B5313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